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84A7B">
      <w:pP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rPr>
        <w:t>关于</w:t>
      </w:r>
      <w:r>
        <w:rPr>
          <w:rFonts w:hint="eastAsia" w:ascii="宋体" w:hAnsi="宋体" w:eastAsia="宋体" w:cs="宋体"/>
          <w:b/>
          <w:bCs/>
          <w:i w:val="0"/>
          <w:iCs w:val="0"/>
          <w:caps w:val="0"/>
          <w:color w:val="333333"/>
          <w:spacing w:val="0"/>
          <w:sz w:val="36"/>
          <w:szCs w:val="36"/>
          <w:shd w:val="clear" w:fill="FFFFFF"/>
          <w:lang w:eastAsia="zh-CN"/>
        </w:rPr>
        <w:t>蚌埠工商学院</w:t>
      </w:r>
      <w:r>
        <w:rPr>
          <w:rFonts w:hint="eastAsia" w:ascii="宋体" w:hAnsi="宋体" w:eastAsia="宋体" w:cs="宋体"/>
          <w:b/>
          <w:bCs/>
          <w:i w:val="0"/>
          <w:iCs w:val="0"/>
          <w:caps w:val="0"/>
          <w:color w:val="333333"/>
          <w:spacing w:val="0"/>
          <w:sz w:val="36"/>
          <w:szCs w:val="36"/>
          <w:shd w:val="clear" w:fill="FFFFFF"/>
        </w:rPr>
        <w:t>大学生创新大赛（202</w:t>
      </w:r>
      <w:r>
        <w:rPr>
          <w:rFonts w:hint="eastAsia" w:ascii="宋体" w:hAnsi="宋体" w:eastAsia="宋体" w:cs="宋体"/>
          <w:b/>
          <w:bCs/>
          <w:i w:val="0"/>
          <w:iCs w:val="0"/>
          <w:caps w:val="0"/>
          <w:color w:val="333333"/>
          <w:spacing w:val="0"/>
          <w:sz w:val="36"/>
          <w:szCs w:val="36"/>
          <w:shd w:val="clear" w:fill="FFFFFF"/>
          <w:lang w:val="en-US" w:eastAsia="zh-CN"/>
        </w:rPr>
        <w:t>5</w:t>
      </w:r>
      <w:r>
        <w:rPr>
          <w:rFonts w:hint="eastAsia" w:ascii="宋体" w:hAnsi="宋体" w:eastAsia="宋体" w:cs="宋体"/>
          <w:b/>
          <w:bCs/>
          <w:i w:val="0"/>
          <w:iCs w:val="0"/>
          <w:caps w:val="0"/>
          <w:color w:val="333333"/>
          <w:spacing w:val="0"/>
          <w:sz w:val="36"/>
          <w:szCs w:val="36"/>
          <w:shd w:val="clear" w:fill="FFFFFF"/>
        </w:rPr>
        <w:t>）的预通知</w:t>
      </w:r>
    </w:p>
    <w:p w14:paraId="722C9588">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由于教育部202</w:t>
      </w: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年大赛相关文件尚未发布，在新的通知文件发布之前，校赛各项要求和标准按照《教育部关于举办</w:t>
      </w:r>
      <w:r>
        <w:rPr>
          <w:rFonts w:hint="eastAsia" w:ascii="仿宋" w:hAnsi="仿宋" w:eastAsia="仿宋" w:cs="仿宋"/>
          <w:i w:val="0"/>
          <w:iCs w:val="0"/>
          <w:caps w:val="0"/>
          <w:color w:val="333333"/>
          <w:spacing w:val="0"/>
          <w:sz w:val="28"/>
          <w:szCs w:val="28"/>
          <w:shd w:val="clear" w:fill="FFFFFF"/>
          <w:lang w:eastAsia="zh-CN"/>
        </w:rPr>
        <w:t>中国国际大学生创新</w:t>
      </w:r>
      <w:r>
        <w:rPr>
          <w:rFonts w:hint="eastAsia" w:ascii="仿宋" w:hAnsi="仿宋" w:eastAsia="仿宋" w:cs="仿宋"/>
          <w:i w:val="0"/>
          <w:iCs w:val="0"/>
          <w:caps w:val="0"/>
          <w:color w:val="333333"/>
          <w:spacing w:val="0"/>
          <w:sz w:val="28"/>
          <w:szCs w:val="28"/>
          <w:shd w:val="clear" w:fill="FFFFFF"/>
        </w:rPr>
        <w:t>大赛</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2024）</w:t>
      </w:r>
      <w:r>
        <w:rPr>
          <w:rFonts w:hint="eastAsia" w:ascii="仿宋" w:hAnsi="仿宋" w:eastAsia="仿宋" w:cs="仿宋"/>
          <w:i w:val="0"/>
          <w:iCs w:val="0"/>
          <w:caps w:val="0"/>
          <w:color w:val="333333"/>
          <w:spacing w:val="0"/>
          <w:sz w:val="28"/>
          <w:szCs w:val="28"/>
          <w:shd w:val="clear" w:fill="FFFFFF"/>
        </w:rPr>
        <w:t>的通知》执行，待国赛省赛新的通知发布后，由校赛组委会另行补充通知，现将有关事项预通知如下。</w:t>
      </w:r>
    </w:p>
    <w:p w14:paraId="77DA5E53">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一、大赛主题</w:t>
      </w:r>
    </w:p>
    <w:p w14:paraId="674CF84C">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我敢闯，我会创</w:t>
      </w:r>
      <w:r>
        <w:rPr>
          <w:rFonts w:hint="eastAsia" w:ascii="仿宋" w:hAnsi="仿宋" w:eastAsia="仿宋" w:cs="仿宋"/>
          <w:i w:val="0"/>
          <w:iCs w:val="0"/>
          <w:caps w:val="0"/>
          <w:color w:val="333333"/>
          <w:spacing w:val="0"/>
          <w:sz w:val="28"/>
          <w:szCs w:val="28"/>
          <w:shd w:val="clear" w:fill="FFFFFF"/>
          <w:lang w:val="en-US" w:eastAsia="zh-CN"/>
        </w:rPr>
        <w:t>(以2025大学生创新大赛国赛通知为准）</w:t>
      </w:r>
      <w:r>
        <w:rPr>
          <w:rFonts w:hint="eastAsia" w:ascii="仿宋" w:hAnsi="仿宋" w:eastAsia="仿宋" w:cs="仿宋"/>
          <w:i w:val="0"/>
          <w:iCs w:val="0"/>
          <w:caps w:val="0"/>
          <w:color w:val="333333"/>
          <w:spacing w:val="0"/>
          <w:sz w:val="28"/>
          <w:szCs w:val="28"/>
          <w:shd w:val="clear" w:fill="FFFFFF"/>
        </w:rPr>
        <w:t>。</w:t>
      </w:r>
    </w:p>
    <w:p w14:paraId="3176F00E">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二、总体目标</w:t>
      </w:r>
    </w:p>
    <w:p w14:paraId="178136C5">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更中国、更国际、更教育、更全面、更创新、更协同，落实立德树人根本任务，传承和弘扬红色基因，聚焦“五育”融合创新创业教育实践，开启创新创业教育改革新征程，激发青年学生创新创造热情，打造共建共享、融通中外的国际创新创业盛会，让青春在全面建设社会主义现代化国家的火热实践中绽放绚丽之花。</w:t>
      </w:r>
    </w:p>
    <w:p w14:paraId="11E0C5C0">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——更中国。更深层次、更广范围体现红色基因传承，充分展现新发展阶段高水平创新创业教育的丰硕成果，集中展示新发展理念引领下创新创业人才培养的中国方案，提升新时代中国高等教育的感召力。</w:t>
      </w:r>
    </w:p>
    <w:p w14:paraId="6F22B0F4">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更国际。深化创新创业教育国际交流合作，汇聚全球知名高校、企业和创业者，服务以国内大循环为主体、国内国际双循环相互促进的新发展格局，搭建全球性创新创业竞赛平台，提升新时代中国高等教育的影响力。</w:t>
      </w:r>
    </w:p>
    <w:p w14:paraId="396AE9C7">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——更教育。推动思想政治教育、专业教育与创新创业教育深度融合，弘扬劳动精神，加强学生创新实践能力培养，造就敢想敢为又善作善成的新时代好青年，提升新时代中国高等教育的塑造力。</w:t>
      </w:r>
    </w:p>
    <w:p w14:paraId="47953045">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更全面。推进职普融通、产教融合、科教融汇，鼓励各学段学生积极参赛，形成创新创业教育在高等教育、职业教育、基础教育、留学生教育等各类各学段的全覆盖，打通人才培养各环节，提升新时代中国高等教育的引领力。</w:t>
      </w:r>
    </w:p>
    <w:p w14:paraId="315557CC">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更创新。积极开辟发展新领域新赛道，不断塑造发展新动能新优势，丰富竞赛内容和形式，激发全社会创新创业创造动能，促进高校创新成果转化应用，服务国家创新发展，提升新时代中国高等教育的创造力。</w:t>
      </w:r>
    </w:p>
    <w:p w14:paraId="58CB7522">
      <w:p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更协同。充分发挥大赛平台纽带作用，促进优质资源互联互通，推动形成开放大学、开放产业、开放问题的良好氛围，助推大赛项目落地转化，营造支持青年大学生创新创业、共同合作、互相包容、互相支持的良好生态。</w:t>
      </w:r>
    </w:p>
    <w:p w14:paraId="7F53A08F">
      <w:pPr>
        <w:numPr>
          <w:ilvl w:val="0"/>
          <w:numId w:val="1"/>
        </w:numPr>
        <w:ind w:firstLine="560" w:firstLineChars="200"/>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大赛</w:t>
      </w:r>
      <w:r>
        <w:rPr>
          <w:rFonts w:hint="eastAsia" w:ascii="仿宋" w:hAnsi="仿宋" w:eastAsia="仿宋" w:cs="仿宋"/>
          <w:i w:val="0"/>
          <w:iCs w:val="0"/>
          <w:caps w:val="0"/>
          <w:color w:val="333333"/>
          <w:spacing w:val="0"/>
          <w:sz w:val="28"/>
          <w:szCs w:val="28"/>
          <w:shd w:val="clear" w:fill="FFFFFF"/>
          <w:lang w:eastAsia="zh-CN"/>
        </w:rPr>
        <w:t>内容</w:t>
      </w:r>
    </w:p>
    <w:p w14:paraId="7ED26BF9">
      <w:pPr>
        <w:numPr>
          <w:ilvl w:val="0"/>
          <w:numId w:val="2"/>
        </w:numPr>
        <w:ind w:firstLine="560" w:firstLineChars="200"/>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rPr>
        <w:t>主体赛事</w:t>
      </w:r>
      <w:r>
        <w:rPr>
          <w:rFonts w:hint="eastAsia" w:ascii="仿宋" w:hAnsi="仿宋" w:eastAsia="仿宋" w:cs="仿宋"/>
          <w:i w:val="0"/>
          <w:iCs w:val="0"/>
          <w:caps w:val="0"/>
          <w:color w:val="333333"/>
          <w:spacing w:val="0"/>
          <w:sz w:val="28"/>
          <w:szCs w:val="28"/>
          <w:shd w:val="clear" w:fill="FFFFFF"/>
          <w:lang w:eastAsia="zh-CN"/>
        </w:rPr>
        <w:t>。包括高教主赛道、“青年</w:t>
      </w:r>
      <w:r>
        <w:rPr>
          <w:rFonts w:hint="eastAsia" w:ascii="仿宋" w:hAnsi="仿宋" w:eastAsia="仿宋" w:cs="仿宋"/>
          <w:i w:val="0"/>
          <w:iCs w:val="0"/>
          <w:caps w:val="0"/>
          <w:color w:val="333333"/>
          <w:spacing w:val="0"/>
          <w:sz w:val="28"/>
          <w:szCs w:val="28"/>
          <w:shd w:val="clear" w:fill="FFFFFF"/>
        </w:rPr>
        <w:t>红色筑梦之旅”</w:t>
      </w:r>
      <w:r>
        <w:rPr>
          <w:rFonts w:hint="eastAsia" w:ascii="仿宋" w:hAnsi="仿宋" w:eastAsia="仿宋" w:cs="仿宋"/>
          <w:i w:val="0"/>
          <w:iCs w:val="0"/>
          <w:caps w:val="0"/>
          <w:color w:val="333333"/>
          <w:spacing w:val="0"/>
          <w:sz w:val="28"/>
          <w:szCs w:val="28"/>
          <w:shd w:val="clear" w:fill="FFFFFF"/>
          <w:lang w:eastAsia="zh-CN"/>
        </w:rPr>
        <w:t>赛道、产业命题赛道。</w:t>
      </w:r>
    </w:p>
    <w:p w14:paraId="367B1F97">
      <w:pPr>
        <w:numPr>
          <w:ilvl w:val="0"/>
          <w:numId w:val="2"/>
        </w:numPr>
        <w:ind w:firstLine="560" w:firstLineChars="20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“青年红色筑梦之旅”活动、同期活动等具体要求待中国国际大学生创新大赛通知发布后另行通知。</w:t>
      </w:r>
    </w:p>
    <w:p w14:paraId="629507EF">
      <w:pPr>
        <w:numPr>
          <w:ilvl w:val="0"/>
          <w:numId w:val="1"/>
        </w:numPr>
        <w:ind w:left="0" w:leftChars="0" w:firstLine="560" w:firstLineChars="200"/>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i w:val="0"/>
          <w:iCs w:val="0"/>
          <w:caps w:val="0"/>
          <w:color w:val="333333"/>
          <w:spacing w:val="0"/>
          <w:sz w:val="28"/>
          <w:szCs w:val="28"/>
          <w:shd w:val="clear" w:fill="FFFFFF"/>
          <w:lang w:eastAsia="zh-CN"/>
        </w:rPr>
        <w:t>赛程安排</w:t>
      </w:r>
    </w:p>
    <w:p w14:paraId="415A5E90">
      <w:pPr>
        <w:numPr>
          <w:ilvl w:val="0"/>
          <w:numId w:val="3"/>
        </w:numPr>
        <w:ind w:left="575" w:leftChars="0" w:firstLine="0" w:firstLineChars="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学院初赛（3月18日——4月18日）</w:t>
      </w:r>
    </w:p>
    <w:p w14:paraId="4B02A69B">
      <w:pPr>
        <w:numPr>
          <w:ilvl w:val="0"/>
          <w:numId w:val="0"/>
        </w:numPr>
        <w:ind w:firstLine="560" w:firstLineChars="20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各学院积极启动大学生创新大赛，组织初赛（院内选拔赛），对参赛项目严格把关，遴选优质项目晋级校赛。</w:t>
      </w:r>
    </w:p>
    <w:p w14:paraId="3E107660">
      <w:pPr>
        <w:numPr>
          <w:ilvl w:val="0"/>
          <w:numId w:val="3"/>
        </w:numPr>
        <w:ind w:left="575" w:leftChars="0" w:firstLine="0" w:firstLineChars="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校赛复赛、决赛（5月）</w:t>
      </w:r>
    </w:p>
    <w:p w14:paraId="1A3388BD">
      <w:pPr>
        <w:numPr>
          <w:ilvl w:val="0"/>
          <w:numId w:val="0"/>
        </w:numPr>
        <w:ind w:firstLine="560" w:firstLineChars="20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学校复赛。在学院推荐排序基础上择优选择项目进入学校复赛。校赛组委会组织专家对进入复赛的项目团队进行评审，通过评审的项目晋级校赛决赛。</w:t>
      </w:r>
    </w:p>
    <w:p w14:paraId="18858899">
      <w:pPr>
        <w:numPr>
          <w:ilvl w:val="0"/>
          <w:numId w:val="0"/>
        </w:numPr>
        <w:ind w:firstLine="560" w:firstLineChars="20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学校决赛。校赛决赛采取现场路演形式进行，选拔优秀项目参加省级决赛。项目展示形式主要为项目计划书、PPT，也可结合产品实物展示（具体安排另行通知）。</w:t>
      </w:r>
    </w:p>
    <w:p w14:paraId="3026F099">
      <w:pPr>
        <w:numPr>
          <w:ilvl w:val="0"/>
          <w:numId w:val="0"/>
        </w:numPr>
        <w:ind w:firstLine="560" w:firstLineChars="20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省赛备战。根据要求，校赛组委会向省赛组委会推荐我校参赛团队；学校统一组织省赛赛前集中培训，根据情况分阶段进行。</w:t>
      </w:r>
    </w:p>
    <w:p w14:paraId="379DE3B2">
      <w:pPr>
        <w:numPr>
          <w:ilvl w:val="0"/>
          <w:numId w:val="3"/>
        </w:numPr>
        <w:ind w:left="575" w:leftChars="0" w:firstLine="0" w:firstLineChars="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省级决赛（6月）</w:t>
      </w:r>
    </w:p>
    <w:p w14:paraId="7DA32FE4">
      <w:pPr>
        <w:numPr>
          <w:ilvl w:val="0"/>
          <w:numId w:val="0"/>
        </w:numPr>
        <w:ind w:firstLine="560" w:firstLineChars="20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大赛专家委员会对入围省级决赛项目进行网上评审，择优选择项目进入总决赛，决出金奖、银奖、铜奖及其它各类奖项，选拔优秀项目进行冠亚军争夺赛（具体时间及方式另行通知）。</w:t>
      </w:r>
    </w:p>
    <w:p w14:paraId="7A477003">
      <w:pPr>
        <w:numPr>
          <w:ilvl w:val="0"/>
          <w:numId w:val="1"/>
        </w:numPr>
        <w:ind w:left="0" w:leftChars="0" w:firstLine="560" w:firstLineChars="20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工作要求</w:t>
      </w:r>
    </w:p>
    <w:p w14:paraId="1FEAA2A3">
      <w:pPr>
        <w:numPr>
          <w:ilvl w:val="0"/>
          <w:numId w:val="0"/>
        </w:numPr>
        <w:ind w:firstLine="560" w:firstLineChars="20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各学院积极发动广大师生积极参与、广泛联动，确保我校参赛项目较往届实现质与量的双重提升。各学院上报项目数不少于本学院非毕业生人数的10%，在确保参赛项目数量前提下，深度挖掘学科特色、前沿交叉等层面创新潜力，力争上报更多具有竞争力的优秀项目。校赛项目评审选拔过程中，在同等条件下，对报名项目数量指标完成率较高的学院所推荐项目予以优先晋级权利。</w:t>
      </w:r>
    </w:p>
    <w:p w14:paraId="3E8DAF1F">
      <w:pPr>
        <w:numPr>
          <w:ilvl w:val="0"/>
          <w:numId w:val="0"/>
        </w:numPr>
        <w:ind w:firstLine="560" w:firstLineChars="200"/>
        <w:rPr>
          <w:rFonts w:hint="eastAsia" w:ascii="仿宋" w:hAnsi="仿宋" w:eastAsia="仿宋" w:cs="仿宋"/>
          <w:i w:val="0"/>
          <w:iCs w:val="0"/>
          <w:caps w:val="0"/>
          <w:color w:val="333333"/>
          <w:spacing w:val="0"/>
          <w:sz w:val="28"/>
          <w:szCs w:val="28"/>
          <w:shd w:val="clear" w:fill="FFFFFF"/>
          <w:lang w:val="en-US" w:eastAsia="zh-CN"/>
        </w:rPr>
      </w:pP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14:paraId="50A6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9A8FB30">
            <w:pPr>
              <w:numPr>
                <w:ilvl w:val="0"/>
                <w:numId w:val="0"/>
              </w:numP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管理学院</w:t>
            </w:r>
          </w:p>
        </w:tc>
        <w:tc>
          <w:tcPr>
            <w:tcW w:w="1217" w:type="dxa"/>
          </w:tcPr>
          <w:p w14:paraId="1FB4F541">
            <w:pPr>
              <w:numPr>
                <w:ilvl w:val="0"/>
                <w:numId w:val="0"/>
              </w:numP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会计学院</w:t>
            </w:r>
          </w:p>
        </w:tc>
        <w:tc>
          <w:tcPr>
            <w:tcW w:w="1217" w:type="dxa"/>
          </w:tcPr>
          <w:p w14:paraId="413A2C1A">
            <w:pPr>
              <w:numPr>
                <w:ilvl w:val="0"/>
                <w:numId w:val="0"/>
              </w:numP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计算机与数据工程学院</w:t>
            </w:r>
          </w:p>
        </w:tc>
        <w:tc>
          <w:tcPr>
            <w:tcW w:w="1217" w:type="dxa"/>
          </w:tcPr>
          <w:p w14:paraId="0F88C019">
            <w:pPr>
              <w:numPr>
                <w:ilvl w:val="0"/>
                <w:numId w:val="0"/>
              </w:numP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财务与审计学院</w:t>
            </w:r>
          </w:p>
        </w:tc>
        <w:tc>
          <w:tcPr>
            <w:tcW w:w="1218" w:type="dxa"/>
          </w:tcPr>
          <w:p w14:paraId="023B6100">
            <w:pPr>
              <w:numPr>
                <w:ilvl w:val="0"/>
                <w:numId w:val="0"/>
              </w:numP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人文与艺术学院</w:t>
            </w:r>
          </w:p>
        </w:tc>
        <w:tc>
          <w:tcPr>
            <w:tcW w:w="1218" w:type="dxa"/>
          </w:tcPr>
          <w:p w14:paraId="5F1C884D">
            <w:pPr>
              <w:numPr>
                <w:ilvl w:val="0"/>
                <w:numId w:val="0"/>
              </w:numP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经济与金融学院</w:t>
            </w:r>
          </w:p>
        </w:tc>
        <w:tc>
          <w:tcPr>
            <w:tcW w:w="1218" w:type="dxa"/>
          </w:tcPr>
          <w:p w14:paraId="048BE2B6">
            <w:pPr>
              <w:numPr>
                <w:ilvl w:val="0"/>
                <w:numId w:val="0"/>
              </w:numP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国际商务学院</w:t>
            </w:r>
          </w:p>
        </w:tc>
      </w:tr>
      <w:tr w14:paraId="6F56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17" w:type="dxa"/>
          </w:tcPr>
          <w:p w14:paraId="4DA16FE6">
            <w:pPr>
              <w:numPr>
                <w:ilvl w:val="0"/>
                <w:numId w:val="0"/>
              </w:numPr>
              <w:jc w:val="cente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150</w:t>
            </w:r>
          </w:p>
        </w:tc>
        <w:tc>
          <w:tcPr>
            <w:tcW w:w="1217" w:type="dxa"/>
          </w:tcPr>
          <w:p w14:paraId="6DCE9B8B">
            <w:pPr>
              <w:numPr>
                <w:ilvl w:val="0"/>
                <w:numId w:val="0"/>
              </w:numPr>
              <w:jc w:val="cente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120</w:t>
            </w:r>
          </w:p>
        </w:tc>
        <w:tc>
          <w:tcPr>
            <w:tcW w:w="1217" w:type="dxa"/>
          </w:tcPr>
          <w:p w14:paraId="0BBDDD4F">
            <w:pPr>
              <w:numPr>
                <w:ilvl w:val="0"/>
                <w:numId w:val="0"/>
              </w:numPr>
              <w:jc w:val="cente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100</w:t>
            </w:r>
          </w:p>
        </w:tc>
        <w:tc>
          <w:tcPr>
            <w:tcW w:w="1217" w:type="dxa"/>
          </w:tcPr>
          <w:p w14:paraId="13D8850E">
            <w:pPr>
              <w:numPr>
                <w:ilvl w:val="0"/>
                <w:numId w:val="0"/>
              </w:numPr>
              <w:jc w:val="cente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100</w:t>
            </w:r>
          </w:p>
        </w:tc>
        <w:tc>
          <w:tcPr>
            <w:tcW w:w="1218" w:type="dxa"/>
          </w:tcPr>
          <w:p w14:paraId="5547B6C6">
            <w:pPr>
              <w:numPr>
                <w:ilvl w:val="0"/>
                <w:numId w:val="0"/>
              </w:numPr>
              <w:jc w:val="cente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100</w:t>
            </w:r>
          </w:p>
        </w:tc>
        <w:tc>
          <w:tcPr>
            <w:tcW w:w="1218" w:type="dxa"/>
          </w:tcPr>
          <w:p w14:paraId="7B640CC6">
            <w:pPr>
              <w:numPr>
                <w:ilvl w:val="0"/>
                <w:numId w:val="0"/>
              </w:numPr>
              <w:jc w:val="cente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100</w:t>
            </w:r>
          </w:p>
        </w:tc>
        <w:tc>
          <w:tcPr>
            <w:tcW w:w="1218" w:type="dxa"/>
          </w:tcPr>
          <w:p w14:paraId="1E2AAF2D">
            <w:pPr>
              <w:numPr>
                <w:ilvl w:val="0"/>
                <w:numId w:val="0"/>
              </w:numPr>
              <w:jc w:val="cente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100</w:t>
            </w:r>
          </w:p>
        </w:tc>
      </w:tr>
    </w:tbl>
    <w:p w14:paraId="0D819E7E">
      <w:pPr>
        <w:numPr>
          <w:ilvl w:val="0"/>
          <w:numId w:val="0"/>
        </w:numPr>
        <w:jc w:val="center"/>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各学院分配指标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1D307"/>
    <w:multiLevelType w:val="singleLevel"/>
    <w:tmpl w:val="C931D307"/>
    <w:lvl w:ilvl="0" w:tentative="0">
      <w:start w:val="3"/>
      <w:numFmt w:val="chineseCounting"/>
      <w:suff w:val="nothing"/>
      <w:lvlText w:val="%1、"/>
      <w:lvlJc w:val="left"/>
      <w:rPr>
        <w:rFonts w:hint="eastAsia"/>
      </w:rPr>
    </w:lvl>
  </w:abstractNum>
  <w:abstractNum w:abstractNumId="1">
    <w:nsid w:val="3C121718"/>
    <w:multiLevelType w:val="singleLevel"/>
    <w:tmpl w:val="3C121718"/>
    <w:lvl w:ilvl="0" w:tentative="0">
      <w:start w:val="1"/>
      <w:numFmt w:val="chineseCounting"/>
      <w:suff w:val="nothing"/>
      <w:lvlText w:val="（%1）"/>
      <w:lvlJc w:val="left"/>
      <w:pPr>
        <w:ind w:left="575" w:leftChars="0" w:firstLine="0" w:firstLineChars="0"/>
      </w:pPr>
      <w:rPr>
        <w:rFonts w:hint="eastAsia"/>
      </w:rPr>
    </w:lvl>
  </w:abstractNum>
  <w:abstractNum w:abstractNumId="2">
    <w:nsid w:val="5434F31F"/>
    <w:multiLevelType w:val="singleLevel"/>
    <w:tmpl w:val="5434F31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F15A9"/>
    <w:rsid w:val="090B72F2"/>
    <w:rsid w:val="10B12E98"/>
    <w:rsid w:val="1F3F5AEF"/>
    <w:rsid w:val="26A050C5"/>
    <w:rsid w:val="32821B23"/>
    <w:rsid w:val="356B0CE6"/>
    <w:rsid w:val="3C5E539B"/>
    <w:rsid w:val="49A17AF6"/>
    <w:rsid w:val="52AF15A9"/>
    <w:rsid w:val="578C4158"/>
    <w:rsid w:val="59975161"/>
    <w:rsid w:val="67754F45"/>
    <w:rsid w:val="7FE4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1545</Words>
  <Characters>1577</Characters>
  <Lines>0</Lines>
  <Paragraphs>0</Paragraphs>
  <TotalTime>15</TotalTime>
  <ScaleCrop>false</ScaleCrop>
  <LinksUpToDate>false</LinksUpToDate>
  <CharactersWithSpaces>1577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2025-03-12T02:28:00Z</dcterms:created>
  <dc:creator>ʚྀིɞ</dc:creator>
  <cp:lastModifiedBy>ʚྀིɞ</cp:lastModifiedBy>
  <dcterms:modified xsi:type="dcterms:W3CDTF">2025-03-17T07:46:57Z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F37461AB23074DC1A0C1554F9865A53B_11</vt:lpwstr>
  </property>
  <property fmtid="{D5CDD505-2E9C-101B-9397-08002B2CF9AE}" pid="4" name="KSOTemplateDocerSaveRecord">
    <vt:lpwstr>eyJoZGlkIjoiMzRiZTY2NDA2OGQxY2M1ZDZhNDM0MWY5NmZjYmQ1NjYiLCJ1c2VySWQiOiI3MTQzODcxMjcifQ==</vt:lpwstr>
  </property>
</Properties>
</file>